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CEC" w:rsidRPr="00034933" w:rsidRDefault="00D31CEC" w:rsidP="00D31CEC">
      <w:pPr>
        <w:pStyle w:val="GSTitle"/>
        <w:spacing w:after="0"/>
        <w:rPr>
          <w:szCs w:val="44"/>
        </w:rPr>
      </w:pPr>
      <w:r>
        <w:rPr>
          <w:szCs w:val="44"/>
        </w:rPr>
        <w:t>DCP 251</w:t>
      </w:r>
      <w:r w:rsidRPr="00034933">
        <w:rPr>
          <w:szCs w:val="44"/>
        </w:rPr>
        <w:t xml:space="preserve"> </w:t>
      </w:r>
      <w:r>
        <w:rPr>
          <w:szCs w:val="44"/>
        </w:rPr>
        <w:t xml:space="preserve">and DCP 252 </w:t>
      </w:r>
      <w:r>
        <w:rPr>
          <w:szCs w:val="44"/>
        </w:rPr>
        <w:t>Issues Log</w:t>
      </w:r>
    </w:p>
    <w:tbl>
      <w:tblPr>
        <w:tblStyle w:val="GSTable"/>
        <w:tblW w:w="13733" w:type="dxa"/>
        <w:tblBorders>
          <w:top w:val="single" w:sz="12" w:space="0" w:color="86AD82"/>
          <w:bottom w:val="single" w:sz="12" w:space="0" w:color="86AD82"/>
        </w:tblBorders>
        <w:tblLook w:val="04E0" w:firstRow="1" w:lastRow="1" w:firstColumn="1" w:lastColumn="0" w:noHBand="0" w:noVBand="1"/>
      </w:tblPr>
      <w:tblGrid>
        <w:gridCol w:w="3530"/>
        <w:gridCol w:w="10203"/>
      </w:tblGrid>
      <w:tr w:rsidR="00D31CEC" w:rsidRPr="00157BD0" w:rsidTr="00D31CEC">
        <w:trPr>
          <w:cnfStyle w:val="100000000000" w:firstRow="1" w:lastRow="0" w:firstColumn="0" w:lastColumn="0" w:oddVBand="0" w:evenVBand="0" w:oddHBand="0" w:evenHBand="0" w:firstRowFirstColumn="0" w:firstRowLastColumn="0" w:lastRowFirstColumn="0" w:lastRowLastColumn="0"/>
          <w:trHeight w:hRule="exact" w:val="148"/>
        </w:trPr>
        <w:tc>
          <w:tcPr>
            <w:cnfStyle w:val="001000000000" w:firstRow="0" w:lastRow="0" w:firstColumn="1" w:lastColumn="0" w:oddVBand="0" w:evenVBand="0" w:oddHBand="0" w:evenHBand="0" w:firstRowFirstColumn="0" w:firstRowLastColumn="0" w:lastRowFirstColumn="0" w:lastRowLastColumn="0"/>
            <w:tcW w:w="3530" w:type="dxa"/>
            <w:tcBorders>
              <w:top w:val="single" w:sz="4" w:space="0" w:color="86AD82"/>
            </w:tcBorders>
            <w:shd w:val="clear" w:color="auto" w:fill="86AD82"/>
          </w:tcPr>
          <w:p w:rsidR="00D31CEC" w:rsidRPr="00D31CEC" w:rsidRDefault="00D31CEC" w:rsidP="006C6619">
            <w:pPr>
              <w:pStyle w:val="GSTblText1"/>
              <w:rPr>
                <w:sz w:val="8"/>
              </w:rPr>
            </w:pPr>
          </w:p>
        </w:tc>
        <w:tc>
          <w:tcPr>
            <w:tcW w:w="10203" w:type="dxa"/>
            <w:tcBorders>
              <w:top w:val="single" w:sz="4" w:space="0" w:color="86AD82"/>
            </w:tcBorders>
            <w:shd w:val="clear" w:color="auto" w:fill="86AD82"/>
          </w:tcPr>
          <w:p w:rsidR="00D31CEC" w:rsidRDefault="00D31CEC" w:rsidP="006C6619">
            <w:pPr>
              <w:pStyle w:val="GSCommittee"/>
              <w:cnfStyle w:val="100000000000" w:firstRow="1" w:lastRow="0" w:firstColumn="0" w:lastColumn="0" w:oddVBand="0" w:evenVBand="0" w:oddHBand="0" w:evenHBand="0" w:firstRowFirstColumn="0" w:firstRowLastColumn="0" w:lastRowFirstColumn="0" w:lastRowLastColumn="0"/>
            </w:pPr>
          </w:p>
        </w:tc>
      </w:tr>
    </w:tbl>
    <w:p w:rsidR="0087115D" w:rsidRPr="006603D1" w:rsidRDefault="0087115D" w:rsidP="0087115D">
      <w:pPr>
        <w:pStyle w:val="GSHeading1"/>
        <w:rPr>
          <w:rFonts w:asciiTheme="minorHAnsi" w:hAnsiTheme="minorHAnsi"/>
        </w:rPr>
      </w:pPr>
    </w:p>
    <w:tbl>
      <w:tblPr>
        <w:tblStyle w:val="GSActionsTable"/>
        <w:tblW w:w="0" w:type="auto"/>
        <w:tblInd w:w="108" w:type="dxa"/>
        <w:tblLook w:val="04A0" w:firstRow="1" w:lastRow="0" w:firstColumn="1" w:lastColumn="0" w:noHBand="0" w:noVBand="1"/>
      </w:tblPr>
      <w:tblGrid>
        <w:gridCol w:w="2014"/>
        <w:gridCol w:w="850"/>
        <w:gridCol w:w="5528"/>
        <w:gridCol w:w="5448"/>
      </w:tblGrid>
      <w:tr w:rsidR="0087115D" w:rsidRPr="006603D1" w:rsidTr="00D31CEC">
        <w:trPr>
          <w:cnfStyle w:val="100000000000" w:firstRow="1" w:lastRow="0" w:firstColumn="0" w:lastColumn="0" w:oddVBand="0" w:evenVBand="0" w:oddHBand="0" w:evenHBand="0" w:firstRowFirstColumn="0" w:firstRowLastColumn="0" w:lastRowFirstColumn="0" w:lastRowLastColumn="0"/>
        </w:trPr>
        <w:tc>
          <w:tcPr>
            <w:tcW w:w="2014" w:type="dxa"/>
            <w:tcBorders>
              <w:top w:val="single" w:sz="4" w:space="0" w:color="86AD82"/>
              <w:left w:val="single" w:sz="4" w:space="0" w:color="86AD82"/>
              <w:bottom w:val="single" w:sz="4" w:space="0" w:color="86AD82"/>
              <w:right w:val="single" w:sz="4" w:space="0" w:color="86AD82"/>
            </w:tcBorders>
            <w:shd w:val="clear" w:color="auto" w:fill="86AD82"/>
          </w:tcPr>
          <w:p w:rsidR="0087115D" w:rsidRPr="006603D1" w:rsidRDefault="00D31CEC" w:rsidP="0087115D">
            <w:pPr>
              <w:pStyle w:val="GSTblText2"/>
              <w:rPr>
                <w:rFonts w:asciiTheme="minorHAnsi" w:hAnsiTheme="minorHAnsi"/>
              </w:rPr>
            </w:pPr>
            <w:r>
              <w:rPr>
                <w:rFonts w:asciiTheme="minorHAnsi" w:hAnsiTheme="minorHAnsi"/>
              </w:rPr>
              <w:t>Area</w:t>
            </w:r>
          </w:p>
        </w:tc>
        <w:tc>
          <w:tcPr>
            <w:tcW w:w="850" w:type="dxa"/>
            <w:tcBorders>
              <w:top w:val="single" w:sz="4" w:space="0" w:color="86AD82"/>
              <w:left w:val="single" w:sz="4" w:space="0" w:color="86AD82"/>
              <w:bottom w:val="single" w:sz="4" w:space="0" w:color="86AD82"/>
              <w:right w:val="single" w:sz="4" w:space="0" w:color="86AD82"/>
            </w:tcBorders>
            <w:shd w:val="clear" w:color="auto" w:fill="86AD82"/>
          </w:tcPr>
          <w:p w:rsidR="0087115D" w:rsidRPr="006603D1" w:rsidRDefault="00D31CEC" w:rsidP="00D31CEC">
            <w:pPr>
              <w:pStyle w:val="GSTblText2"/>
              <w:rPr>
                <w:rFonts w:asciiTheme="minorHAnsi" w:hAnsiTheme="minorHAnsi"/>
              </w:rPr>
            </w:pPr>
            <w:r>
              <w:rPr>
                <w:rFonts w:asciiTheme="minorHAnsi" w:hAnsiTheme="minorHAnsi"/>
              </w:rPr>
              <w:t>Ref</w:t>
            </w:r>
          </w:p>
        </w:tc>
        <w:tc>
          <w:tcPr>
            <w:tcW w:w="5528" w:type="dxa"/>
            <w:tcBorders>
              <w:top w:val="single" w:sz="4" w:space="0" w:color="86AD82"/>
              <w:left w:val="single" w:sz="4" w:space="0" w:color="86AD82"/>
              <w:bottom w:val="single" w:sz="4" w:space="0" w:color="86AD82"/>
              <w:right w:val="single" w:sz="4" w:space="0" w:color="86AD82"/>
            </w:tcBorders>
            <w:shd w:val="clear" w:color="auto" w:fill="86AD82"/>
          </w:tcPr>
          <w:p w:rsidR="0087115D" w:rsidRPr="006603D1" w:rsidRDefault="00D31CEC" w:rsidP="0087115D">
            <w:pPr>
              <w:pStyle w:val="GSTblText2"/>
              <w:rPr>
                <w:rFonts w:asciiTheme="minorHAnsi" w:hAnsiTheme="minorHAnsi"/>
              </w:rPr>
            </w:pPr>
            <w:r>
              <w:rPr>
                <w:rFonts w:asciiTheme="minorHAnsi" w:hAnsiTheme="minorHAnsi"/>
              </w:rPr>
              <w:t>Issue</w:t>
            </w:r>
          </w:p>
        </w:tc>
        <w:tc>
          <w:tcPr>
            <w:tcW w:w="5448" w:type="dxa"/>
            <w:tcBorders>
              <w:top w:val="single" w:sz="4" w:space="0" w:color="86AD82"/>
              <w:left w:val="single" w:sz="4" w:space="0" w:color="86AD82"/>
              <w:bottom w:val="single" w:sz="4" w:space="0" w:color="86AD82"/>
              <w:right w:val="single" w:sz="4" w:space="0" w:color="86AD82"/>
            </w:tcBorders>
            <w:shd w:val="clear" w:color="auto" w:fill="86AD82"/>
          </w:tcPr>
          <w:p w:rsidR="0087115D" w:rsidRPr="006603D1" w:rsidRDefault="0087115D" w:rsidP="0087115D">
            <w:pPr>
              <w:pStyle w:val="GSTblText2"/>
              <w:rPr>
                <w:rFonts w:asciiTheme="minorHAnsi" w:hAnsiTheme="minorHAnsi"/>
              </w:rPr>
            </w:pPr>
            <w:r w:rsidRPr="006603D1">
              <w:rPr>
                <w:rFonts w:asciiTheme="minorHAnsi" w:hAnsiTheme="minorHAnsi"/>
              </w:rPr>
              <w:t>Update</w:t>
            </w:r>
          </w:p>
        </w:tc>
      </w:tr>
      <w:tr w:rsidR="00A12964" w:rsidRPr="001E4564" w:rsidTr="00D31CEC">
        <w:tc>
          <w:tcPr>
            <w:tcW w:w="2014" w:type="dxa"/>
            <w:tcBorders>
              <w:top w:val="single" w:sz="4" w:space="0" w:color="86AD82"/>
              <w:left w:val="single" w:sz="4" w:space="0" w:color="86AD82"/>
              <w:bottom w:val="single" w:sz="4" w:space="0" w:color="86AD82"/>
              <w:right w:val="single" w:sz="4" w:space="0" w:color="86AD82"/>
            </w:tcBorders>
          </w:tcPr>
          <w:p w:rsidR="00A12964" w:rsidRPr="00630080" w:rsidRDefault="00A545FF" w:rsidP="00A12964">
            <w:pPr>
              <w:pStyle w:val="GSTblText2"/>
            </w:pPr>
            <w:r>
              <w:t>Future publications</w:t>
            </w:r>
          </w:p>
        </w:tc>
        <w:tc>
          <w:tcPr>
            <w:tcW w:w="850" w:type="dxa"/>
            <w:tcBorders>
              <w:top w:val="single" w:sz="4" w:space="0" w:color="86AD82"/>
              <w:left w:val="single" w:sz="4" w:space="0" w:color="86AD82"/>
              <w:bottom w:val="single" w:sz="4" w:space="0" w:color="86AD82"/>
              <w:right w:val="single" w:sz="4" w:space="0" w:color="86AD82"/>
            </w:tcBorders>
          </w:tcPr>
          <w:p w:rsidR="00A12964" w:rsidRPr="00630080" w:rsidRDefault="001B6EB4" w:rsidP="00A12964">
            <w:pPr>
              <w:pStyle w:val="GSBodyParawithnumb"/>
              <w:numPr>
                <w:ilvl w:val="0"/>
                <w:numId w:val="0"/>
              </w:numPr>
            </w:pPr>
            <w:r>
              <w:t>01</w:t>
            </w:r>
          </w:p>
        </w:tc>
        <w:tc>
          <w:tcPr>
            <w:tcW w:w="5528" w:type="dxa"/>
            <w:tcBorders>
              <w:top w:val="single" w:sz="4" w:space="0" w:color="86AD82"/>
              <w:left w:val="single" w:sz="4" w:space="0" w:color="86AD82"/>
              <w:bottom w:val="single" w:sz="4" w:space="0" w:color="86AD82"/>
              <w:right w:val="single" w:sz="4" w:space="0" w:color="86AD82"/>
            </w:tcBorders>
          </w:tcPr>
          <w:p w:rsidR="00A12964" w:rsidRPr="00630080" w:rsidRDefault="001B6EB4" w:rsidP="00A12964">
            <w:pPr>
              <w:pStyle w:val="GSTblText2"/>
            </w:pPr>
            <w:r>
              <w:t xml:space="preserve">Lack of engagement with QNOs </w:t>
            </w:r>
          </w:p>
        </w:tc>
        <w:tc>
          <w:tcPr>
            <w:tcW w:w="5448" w:type="dxa"/>
            <w:tcBorders>
              <w:top w:val="single" w:sz="4" w:space="0" w:color="86AD82"/>
              <w:left w:val="single" w:sz="4" w:space="0" w:color="86AD82"/>
              <w:bottom w:val="single" w:sz="4" w:space="0" w:color="86AD82"/>
              <w:right w:val="single" w:sz="4" w:space="0" w:color="86AD82"/>
            </w:tcBorders>
          </w:tcPr>
          <w:p w:rsidR="00A12964" w:rsidRPr="00630080" w:rsidRDefault="001B6EB4" w:rsidP="00A12964">
            <w:pPr>
              <w:pStyle w:val="GSTblText2"/>
            </w:pPr>
            <w:r>
              <w:t>It was agreed for the distribution lists from DCP 124 and DCP 263 to be used for future publications</w:t>
            </w: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Future publications</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02</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Ensure the background paper and future publications covers full settlement metering, which is the only case in which the legal text would apply</w:t>
            </w:r>
          </w:p>
        </w:tc>
        <w:tc>
          <w:tcPr>
            <w:tcW w:w="5448"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Review</w:t>
            </w:r>
          </w:p>
        </w:tc>
        <w:tc>
          <w:tcPr>
            <w:tcW w:w="850"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BodyParawithnumb"/>
              <w:numPr>
                <w:ilvl w:val="0"/>
                <w:numId w:val="0"/>
              </w:numPr>
            </w:pPr>
            <w:r>
              <w:t>03</w:t>
            </w:r>
          </w:p>
        </w:tc>
        <w:tc>
          <w:tcPr>
            <w:tcW w:w="552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rsidRPr="001B6EB4">
              <w:t>Undertake a review of Schedule 19 Sections 2 and 3, in terms of the NHH and HH portfolio tariffs</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Review</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04</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Qualifying Network Operator definition to be developed further</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Review</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05</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There is a risk with the term “unlicensed” is that it might be taken to exclude licensed generators and suppliers operating private distribution networks</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Review</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06</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Consider whether we need to have separate terms for LDNO and QNO in the legal text</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Review</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07</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Should it be the Use of System services that the unlicensed operator providers or should it be the Use of System services it receives from the DNO</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Review</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08</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proofErr w:type="spellStart"/>
            <w:r w:rsidRPr="001B6EB4">
              <w:t>Sch</w:t>
            </w:r>
            <w:proofErr w:type="spellEnd"/>
            <w:r w:rsidRPr="001B6EB4">
              <w:t xml:space="preserve"> 16 114 and 117: we would be in favour of using LDNO network data as a proxy for QNO network data.  The unlicensed QNOs may include less sophisticated entities that are not DCUSA parties and obtaining data from them may be problematic</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lastRenderedPageBreak/>
              <w:t>Portfolios</w:t>
            </w:r>
          </w:p>
        </w:tc>
        <w:tc>
          <w:tcPr>
            <w:tcW w:w="850"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BodyParawithnumb"/>
              <w:numPr>
                <w:ilvl w:val="0"/>
                <w:numId w:val="0"/>
              </w:numPr>
            </w:pPr>
            <w:r>
              <w:t>09</w:t>
            </w:r>
          </w:p>
        </w:tc>
        <w:tc>
          <w:tcPr>
            <w:tcW w:w="552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rsidRPr="001B6EB4">
              <w:t xml:space="preserve">The portfolio billing that supports </w:t>
            </w:r>
            <w:r>
              <w:t>IDNO</w:t>
            </w:r>
            <w:r w:rsidRPr="001B6EB4">
              <w:t xml:space="preserve"> tariffs relies on the </w:t>
            </w:r>
            <w:r>
              <w:t>IDNO</w:t>
            </w:r>
            <w:r w:rsidRPr="001B6EB4">
              <w:t xml:space="preserve"> constructing the portfolio data for all its registered </w:t>
            </w:r>
            <w:r>
              <w:t>MPANs</w:t>
            </w:r>
            <w:r w:rsidRPr="001B6EB4">
              <w:t xml:space="preserve"> on its sites that are connected to a particular </w:t>
            </w:r>
            <w:r>
              <w:t>DNO’s</w:t>
            </w:r>
            <w:r w:rsidRPr="001B6EB4">
              <w:t xml:space="preserve"> assets.  The </w:t>
            </w:r>
            <w:r>
              <w:t>IDNO</w:t>
            </w:r>
            <w:r w:rsidRPr="001B6EB4">
              <w:t xml:space="preserve"> sends this portfolio data to the </w:t>
            </w:r>
            <w:r>
              <w:t>DNO</w:t>
            </w:r>
            <w:r w:rsidRPr="001B6EB4">
              <w:t xml:space="preserve">.  </w:t>
            </w:r>
            <w:r>
              <w:t>IDNOs</w:t>
            </w:r>
            <w:r w:rsidRPr="001B6EB4">
              <w:t xml:space="preserve"> (as market participants) access industry systems and data to construct the portfolio data, whereas it is difficult to see how a Distribution Exempt Holders who is not a market participant could do this</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Portfolios</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10</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 xml:space="preserve">Distribution Exempt Holders tend to own self-contained individual sites that exist for specific and dissimilar purposes e.g. ports and airports, whereas the </w:t>
            </w:r>
            <w:r>
              <w:t>IDNO</w:t>
            </w:r>
            <w:r w:rsidRPr="001B6EB4">
              <w:t xml:space="preserve"> model replicates very similar sites e.g. new housing and that model lends itself well to portfolio billing</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Non-metered end users</w:t>
            </w:r>
          </w:p>
        </w:tc>
        <w:tc>
          <w:tcPr>
            <w:tcW w:w="850"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BodyParawithnumb"/>
              <w:numPr>
                <w:ilvl w:val="0"/>
                <w:numId w:val="0"/>
              </w:numPr>
            </w:pPr>
            <w:r>
              <w:t>11</w:t>
            </w:r>
          </w:p>
        </w:tc>
        <w:tc>
          <w:tcPr>
            <w:tcW w:w="552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rsidRPr="001B6EB4">
              <w:t xml:space="preserve">Distribution Exempt Holders sites utilising the </w:t>
            </w:r>
            <w:r>
              <w:t>BSC</w:t>
            </w:r>
            <w:r w:rsidRPr="001B6EB4">
              <w:t xml:space="preserve"> difference metering solution have both boundary meters and some end-user meters. Not all end users would be metered so a way of applying the </w:t>
            </w:r>
            <w:r>
              <w:t>IDNO</w:t>
            </w:r>
            <w:r w:rsidRPr="001B6EB4">
              <w:t xml:space="preserve"> tariffs to the boundary meters would need to be found</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r w:rsidR="00A545FF" w:rsidRPr="001E4564" w:rsidTr="00D31CEC">
        <w:tc>
          <w:tcPr>
            <w:tcW w:w="2014"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r>
              <w:t>Customer choice</w:t>
            </w:r>
          </w:p>
        </w:tc>
        <w:tc>
          <w:tcPr>
            <w:tcW w:w="850" w:type="dxa"/>
            <w:tcBorders>
              <w:top w:val="single" w:sz="4" w:space="0" w:color="86AD82"/>
              <w:left w:val="single" w:sz="4" w:space="0" w:color="86AD82"/>
              <w:bottom w:val="single" w:sz="4" w:space="0" w:color="86AD82"/>
              <w:right w:val="single" w:sz="4" w:space="0" w:color="86AD82"/>
            </w:tcBorders>
          </w:tcPr>
          <w:p w:rsidR="00A545FF" w:rsidRDefault="00A545FF" w:rsidP="00A545FF">
            <w:pPr>
              <w:pStyle w:val="GSBodyParawithnumb"/>
              <w:numPr>
                <w:ilvl w:val="0"/>
                <w:numId w:val="0"/>
              </w:numPr>
            </w:pPr>
            <w:r>
              <w:t>12</w:t>
            </w:r>
          </w:p>
        </w:tc>
        <w:tc>
          <w:tcPr>
            <w:tcW w:w="5528" w:type="dxa"/>
            <w:tcBorders>
              <w:top w:val="single" w:sz="4" w:space="0" w:color="86AD82"/>
              <w:left w:val="single" w:sz="4" w:space="0" w:color="86AD82"/>
              <w:bottom w:val="single" w:sz="4" w:space="0" w:color="86AD82"/>
              <w:right w:val="single" w:sz="4" w:space="0" w:color="86AD82"/>
            </w:tcBorders>
          </w:tcPr>
          <w:p w:rsidR="00A545FF" w:rsidRPr="001B6EB4" w:rsidRDefault="00A545FF" w:rsidP="00A545FF">
            <w:pPr>
              <w:pStyle w:val="GSTblText2"/>
            </w:pPr>
            <w:r w:rsidRPr="001B6EB4">
              <w:t>To qualify as a QNO an unlicensed network operator must notify the DNO.  This allows an unlicensed operator to choose between an LDNO or ordinary tariff (which can result in lower charges in some circumstances) which is an option not available to LDNOs</w:t>
            </w:r>
          </w:p>
        </w:tc>
        <w:tc>
          <w:tcPr>
            <w:tcW w:w="5448" w:type="dxa"/>
            <w:tcBorders>
              <w:top w:val="single" w:sz="4" w:space="0" w:color="86AD82"/>
              <w:left w:val="single" w:sz="4" w:space="0" w:color="86AD82"/>
              <w:bottom w:val="single" w:sz="4" w:space="0" w:color="86AD82"/>
              <w:right w:val="single" w:sz="4" w:space="0" w:color="86AD82"/>
            </w:tcBorders>
          </w:tcPr>
          <w:p w:rsidR="00A545FF" w:rsidRPr="00630080" w:rsidRDefault="00A545FF" w:rsidP="00A545FF">
            <w:pPr>
              <w:pStyle w:val="GSTblText2"/>
            </w:pPr>
          </w:p>
        </w:tc>
      </w:tr>
    </w:tbl>
    <w:p w:rsidR="00AD0921" w:rsidRPr="001E4564" w:rsidRDefault="00AD0921" w:rsidP="00AD0921">
      <w:pPr>
        <w:pStyle w:val="GSHeading1"/>
        <w:rPr>
          <w:rFonts w:asciiTheme="minorHAnsi" w:hAnsiTheme="minorHAnsi"/>
        </w:rPr>
      </w:pPr>
      <w:bookmarkStart w:id="0" w:name="_GoBack"/>
      <w:bookmarkEnd w:id="0"/>
    </w:p>
    <w:sectPr w:rsidR="00AD0921" w:rsidRPr="001E4564" w:rsidSect="007F6B7F">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99E" w:rsidRDefault="0077099E" w:rsidP="00D441ED">
      <w:r>
        <w:separator/>
      </w:r>
    </w:p>
  </w:endnote>
  <w:endnote w:type="continuationSeparator" w:id="0">
    <w:p w:rsidR="0077099E" w:rsidRDefault="0077099E" w:rsidP="00D4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622" w:rsidRDefault="00A12964" w:rsidP="00EC1622">
    <w:pPr>
      <w:pStyle w:val="GSHeaderFooter"/>
    </w:pPr>
    <w:r>
      <w:t>25 April</w:t>
    </w:r>
    <w:r w:rsidR="00EC1622">
      <w:t xml:space="preserve"> 2016 </w:t>
    </w:r>
    <w:r w:rsidR="00EC1622">
      <w:tab/>
      <w:t xml:space="preserve">Page </w:t>
    </w:r>
    <w:r w:rsidR="00EC1622">
      <w:fldChar w:fldCharType="begin"/>
    </w:r>
    <w:r w:rsidR="00EC1622">
      <w:instrText xml:space="preserve"> PAGE  \* Arabic  \* MERGEFORMAT </w:instrText>
    </w:r>
    <w:r w:rsidR="00EC1622">
      <w:fldChar w:fldCharType="separate"/>
    </w:r>
    <w:r w:rsidR="00A545FF">
      <w:rPr>
        <w:noProof/>
      </w:rPr>
      <w:t>1</w:t>
    </w:r>
    <w:r w:rsidR="00EC1622">
      <w:fldChar w:fldCharType="end"/>
    </w:r>
    <w:r w:rsidR="00EC1622">
      <w:t xml:space="preserve"> of </w:t>
    </w:r>
    <w:r w:rsidR="00A545FF">
      <w:fldChar w:fldCharType="begin"/>
    </w:r>
    <w:r w:rsidR="00A545FF">
      <w:instrText xml:space="preserve"> NUMPAGES  \* Arabic  \* MERGEFORMAT </w:instrText>
    </w:r>
    <w:r w:rsidR="00A545FF">
      <w:fldChar w:fldCharType="separate"/>
    </w:r>
    <w:r w:rsidR="00A545FF">
      <w:rPr>
        <w:noProof/>
      </w:rPr>
      <w:t>2</w:t>
    </w:r>
    <w:r w:rsidR="00A545FF">
      <w:rPr>
        <w:noProof/>
      </w:rPr>
      <w:fldChar w:fldCharType="end"/>
    </w:r>
    <w:r w:rsidR="00EC1622">
      <w:tab/>
      <w:t>v0.1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99E" w:rsidRDefault="0077099E" w:rsidP="00D441ED">
      <w:r>
        <w:separator/>
      </w:r>
    </w:p>
  </w:footnote>
  <w:footnote w:type="continuationSeparator" w:id="0">
    <w:p w:rsidR="0077099E" w:rsidRDefault="0077099E" w:rsidP="00D4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D73" w:rsidRDefault="00D31CEC" w:rsidP="003C2072">
    <w:pPr>
      <w:pStyle w:val="GSHeaderFooterlandscape"/>
    </w:pPr>
    <w:r>
      <w:tab/>
    </w:r>
    <w:r>
      <w:tab/>
    </w:r>
    <w:r>
      <w:rPr>
        <w:noProof/>
        <w:lang w:eastAsia="en-GB"/>
      </w:rPr>
      <w:drawing>
        <wp:inline distT="0" distB="0" distL="0" distR="0" wp14:anchorId="012BD75C" wp14:editId="09F19D99">
          <wp:extent cx="1668000" cy="540000"/>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cstate="print"/>
                  <a:srcRect/>
                  <a:stretch>
                    <a:fillRect/>
                  </a:stretch>
                </pic:blipFill>
                <pic:spPr bwMode="auto">
                  <a:xfrm>
                    <a:off x="0" y="0"/>
                    <a:ext cx="1668000" cy="54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120F05E0"/>
    <w:multiLevelType w:val="multilevel"/>
    <w:tmpl w:val="F7566AAC"/>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b w:val="0"/>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7350920"/>
    <w:multiLevelType w:val="multilevel"/>
    <w:tmpl w:val="26FE4F86"/>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38F42071"/>
    <w:multiLevelType w:val="multilevel"/>
    <w:tmpl w:val="26FE4F86"/>
    <w:numStyleLink w:val="GSNumList"/>
  </w:abstractNum>
  <w:abstractNum w:abstractNumId="5" w15:restartNumberingAfterBreak="0">
    <w:nsid w:val="7A210585"/>
    <w:multiLevelType w:val="multilevel"/>
    <w:tmpl w:val="26FE4F86"/>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3"/>
  </w:num>
  <w:num w:numId="2">
    <w:abstractNumId w:val="1"/>
  </w:num>
  <w:num w:numId="3">
    <w:abstractNumId w:val="2"/>
  </w:num>
  <w:num w:numId="4">
    <w:abstractNumId w:val="1"/>
  </w:num>
  <w:num w:numId="5">
    <w:abstractNumId w:val="1"/>
  </w:num>
  <w:num w:numId="6">
    <w:abstractNumId w:val="0"/>
  </w:num>
  <w:num w:numId="7">
    <w:abstractNumId w:val="1"/>
  </w:num>
  <w:num w:numId="8">
    <w:abstractNumId w:val="5"/>
  </w:num>
  <w:num w:numId="9">
    <w:abstractNumId w:val="2"/>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EE6"/>
    <w:rsid w:val="000101E3"/>
    <w:rsid w:val="0001160A"/>
    <w:rsid w:val="00013F1B"/>
    <w:rsid w:val="00014079"/>
    <w:rsid w:val="000142FD"/>
    <w:rsid w:val="00026A6A"/>
    <w:rsid w:val="00031293"/>
    <w:rsid w:val="000331BB"/>
    <w:rsid w:val="00034933"/>
    <w:rsid w:val="00037336"/>
    <w:rsid w:val="00041E8A"/>
    <w:rsid w:val="0004311A"/>
    <w:rsid w:val="00046FD8"/>
    <w:rsid w:val="00047272"/>
    <w:rsid w:val="000536C6"/>
    <w:rsid w:val="000649B8"/>
    <w:rsid w:val="000651DE"/>
    <w:rsid w:val="000857D7"/>
    <w:rsid w:val="00093E6F"/>
    <w:rsid w:val="00095225"/>
    <w:rsid w:val="0009555B"/>
    <w:rsid w:val="000973C4"/>
    <w:rsid w:val="000B21DA"/>
    <w:rsid w:val="000B5FF2"/>
    <w:rsid w:val="000C078C"/>
    <w:rsid w:val="000C3E42"/>
    <w:rsid w:val="000C6B9D"/>
    <w:rsid w:val="000D0A3A"/>
    <w:rsid w:val="000D10B8"/>
    <w:rsid w:val="000D13BF"/>
    <w:rsid w:val="000D192C"/>
    <w:rsid w:val="000D41DE"/>
    <w:rsid w:val="000D6CA8"/>
    <w:rsid w:val="000E07DC"/>
    <w:rsid w:val="000F5B22"/>
    <w:rsid w:val="00100769"/>
    <w:rsid w:val="00102586"/>
    <w:rsid w:val="00104F9A"/>
    <w:rsid w:val="00105609"/>
    <w:rsid w:val="00112A60"/>
    <w:rsid w:val="00114406"/>
    <w:rsid w:val="00115AA5"/>
    <w:rsid w:val="00124EBC"/>
    <w:rsid w:val="0012555E"/>
    <w:rsid w:val="00127D1F"/>
    <w:rsid w:val="001343C5"/>
    <w:rsid w:val="00142834"/>
    <w:rsid w:val="00142FEB"/>
    <w:rsid w:val="00144CF2"/>
    <w:rsid w:val="00146F5A"/>
    <w:rsid w:val="001479B4"/>
    <w:rsid w:val="00154752"/>
    <w:rsid w:val="001558F4"/>
    <w:rsid w:val="00155D73"/>
    <w:rsid w:val="00157BD0"/>
    <w:rsid w:val="001600F1"/>
    <w:rsid w:val="001657BB"/>
    <w:rsid w:val="0016743A"/>
    <w:rsid w:val="00176071"/>
    <w:rsid w:val="00191295"/>
    <w:rsid w:val="00194A60"/>
    <w:rsid w:val="001A0F45"/>
    <w:rsid w:val="001B5222"/>
    <w:rsid w:val="001B6EB4"/>
    <w:rsid w:val="001B79B7"/>
    <w:rsid w:val="001C5621"/>
    <w:rsid w:val="001D0C3F"/>
    <w:rsid w:val="001D4184"/>
    <w:rsid w:val="001D4F44"/>
    <w:rsid w:val="001E1718"/>
    <w:rsid w:val="001E3DD7"/>
    <w:rsid w:val="001E4564"/>
    <w:rsid w:val="001E55B7"/>
    <w:rsid w:val="00204E13"/>
    <w:rsid w:val="00206F22"/>
    <w:rsid w:val="00215638"/>
    <w:rsid w:val="002342B5"/>
    <w:rsid w:val="0023477D"/>
    <w:rsid w:val="00241AAD"/>
    <w:rsid w:val="00246987"/>
    <w:rsid w:val="00247B18"/>
    <w:rsid w:val="00256F89"/>
    <w:rsid w:val="0026161D"/>
    <w:rsid w:val="00261AE9"/>
    <w:rsid w:val="00262F39"/>
    <w:rsid w:val="00266929"/>
    <w:rsid w:val="002712D7"/>
    <w:rsid w:val="00283A7B"/>
    <w:rsid w:val="00285474"/>
    <w:rsid w:val="0029641E"/>
    <w:rsid w:val="00297C39"/>
    <w:rsid w:val="00297EE1"/>
    <w:rsid w:val="002A1526"/>
    <w:rsid w:val="002A1F37"/>
    <w:rsid w:val="002A695B"/>
    <w:rsid w:val="002B00D4"/>
    <w:rsid w:val="002B3FB2"/>
    <w:rsid w:val="002C1650"/>
    <w:rsid w:val="002C58D5"/>
    <w:rsid w:val="002C6744"/>
    <w:rsid w:val="002D10B4"/>
    <w:rsid w:val="002D249F"/>
    <w:rsid w:val="00314A7D"/>
    <w:rsid w:val="00316490"/>
    <w:rsid w:val="003216B8"/>
    <w:rsid w:val="00330C40"/>
    <w:rsid w:val="003315D7"/>
    <w:rsid w:val="00352D14"/>
    <w:rsid w:val="003530C3"/>
    <w:rsid w:val="003565CD"/>
    <w:rsid w:val="003603C0"/>
    <w:rsid w:val="0036045E"/>
    <w:rsid w:val="003634FE"/>
    <w:rsid w:val="0036419D"/>
    <w:rsid w:val="00364C2C"/>
    <w:rsid w:val="00365FA7"/>
    <w:rsid w:val="00371CAD"/>
    <w:rsid w:val="00375A4E"/>
    <w:rsid w:val="00380A00"/>
    <w:rsid w:val="00382856"/>
    <w:rsid w:val="003A2517"/>
    <w:rsid w:val="003A7230"/>
    <w:rsid w:val="003B0ED8"/>
    <w:rsid w:val="003C0955"/>
    <w:rsid w:val="003C1D5C"/>
    <w:rsid w:val="003C2072"/>
    <w:rsid w:val="003C77C2"/>
    <w:rsid w:val="003D210A"/>
    <w:rsid w:val="003D665F"/>
    <w:rsid w:val="003D6D94"/>
    <w:rsid w:val="003E7F17"/>
    <w:rsid w:val="00401ECC"/>
    <w:rsid w:val="004026CF"/>
    <w:rsid w:val="004137B0"/>
    <w:rsid w:val="00417A25"/>
    <w:rsid w:val="00421229"/>
    <w:rsid w:val="00431006"/>
    <w:rsid w:val="0043360E"/>
    <w:rsid w:val="00434DA6"/>
    <w:rsid w:val="0044289C"/>
    <w:rsid w:val="00443451"/>
    <w:rsid w:val="00445C70"/>
    <w:rsid w:val="00451C4A"/>
    <w:rsid w:val="004528F8"/>
    <w:rsid w:val="0046149B"/>
    <w:rsid w:val="004672FB"/>
    <w:rsid w:val="004727F2"/>
    <w:rsid w:val="00474BD2"/>
    <w:rsid w:val="00476BBC"/>
    <w:rsid w:val="00484C38"/>
    <w:rsid w:val="00490444"/>
    <w:rsid w:val="00492026"/>
    <w:rsid w:val="004A2B9E"/>
    <w:rsid w:val="004A598D"/>
    <w:rsid w:val="004C0D71"/>
    <w:rsid w:val="004C3DE7"/>
    <w:rsid w:val="004C73CB"/>
    <w:rsid w:val="004D3020"/>
    <w:rsid w:val="004F255E"/>
    <w:rsid w:val="004F3421"/>
    <w:rsid w:val="004F66E1"/>
    <w:rsid w:val="00503647"/>
    <w:rsid w:val="00524651"/>
    <w:rsid w:val="00527511"/>
    <w:rsid w:val="00530F27"/>
    <w:rsid w:val="005348A5"/>
    <w:rsid w:val="00536CF7"/>
    <w:rsid w:val="005409F1"/>
    <w:rsid w:val="0054237D"/>
    <w:rsid w:val="00545FAC"/>
    <w:rsid w:val="00554CF9"/>
    <w:rsid w:val="00561916"/>
    <w:rsid w:val="0057333A"/>
    <w:rsid w:val="0057658C"/>
    <w:rsid w:val="00582623"/>
    <w:rsid w:val="00592388"/>
    <w:rsid w:val="005A5F5B"/>
    <w:rsid w:val="005C23AA"/>
    <w:rsid w:val="005D3728"/>
    <w:rsid w:val="005E4420"/>
    <w:rsid w:val="005E72EF"/>
    <w:rsid w:val="005F2A30"/>
    <w:rsid w:val="005F3B17"/>
    <w:rsid w:val="00600657"/>
    <w:rsid w:val="006009CB"/>
    <w:rsid w:val="00610749"/>
    <w:rsid w:val="00612C8B"/>
    <w:rsid w:val="00630080"/>
    <w:rsid w:val="00634DD3"/>
    <w:rsid w:val="0064370C"/>
    <w:rsid w:val="006455FE"/>
    <w:rsid w:val="00646C98"/>
    <w:rsid w:val="00650A31"/>
    <w:rsid w:val="00656D74"/>
    <w:rsid w:val="006572AE"/>
    <w:rsid w:val="00657546"/>
    <w:rsid w:val="006603D1"/>
    <w:rsid w:val="00675B1E"/>
    <w:rsid w:val="00675F55"/>
    <w:rsid w:val="00684288"/>
    <w:rsid w:val="00686B32"/>
    <w:rsid w:val="00691242"/>
    <w:rsid w:val="00694BD0"/>
    <w:rsid w:val="00695132"/>
    <w:rsid w:val="006A4784"/>
    <w:rsid w:val="006A5129"/>
    <w:rsid w:val="006A540E"/>
    <w:rsid w:val="006B5290"/>
    <w:rsid w:val="006B60FD"/>
    <w:rsid w:val="006B7D92"/>
    <w:rsid w:val="006C206E"/>
    <w:rsid w:val="006D36D1"/>
    <w:rsid w:val="006D69F2"/>
    <w:rsid w:val="006E0ABC"/>
    <w:rsid w:val="006F040A"/>
    <w:rsid w:val="006F6CCA"/>
    <w:rsid w:val="006F719E"/>
    <w:rsid w:val="00701F19"/>
    <w:rsid w:val="00704B40"/>
    <w:rsid w:val="00705D10"/>
    <w:rsid w:val="0071153E"/>
    <w:rsid w:val="00715F9C"/>
    <w:rsid w:val="00721DE0"/>
    <w:rsid w:val="007339EA"/>
    <w:rsid w:val="00740249"/>
    <w:rsid w:val="00747009"/>
    <w:rsid w:val="007478C0"/>
    <w:rsid w:val="0075473A"/>
    <w:rsid w:val="007627AB"/>
    <w:rsid w:val="0076280F"/>
    <w:rsid w:val="00762D26"/>
    <w:rsid w:val="0077099E"/>
    <w:rsid w:val="007926A3"/>
    <w:rsid w:val="00795599"/>
    <w:rsid w:val="007967DF"/>
    <w:rsid w:val="007A08CB"/>
    <w:rsid w:val="007A5184"/>
    <w:rsid w:val="007B1AC7"/>
    <w:rsid w:val="007B3B8C"/>
    <w:rsid w:val="007B4ABD"/>
    <w:rsid w:val="007B5FC5"/>
    <w:rsid w:val="007B7D91"/>
    <w:rsid w:val="007C0E3C"/>
    <w:rsid w:val="007C6029"/>
    <w:rsid w:val="007E3CAC"/>
    <w:rsid w:val="007E3DD0"/>
    <w:rsid w:val="007F1E1E"/>
    <w:rsid w:val="007F2088"/>
    <w:rsid w:val="007F6B7F"/>
    <w:rsid w:val="007F777F"/>
    <w:rsid w:val="00800BDF"/>
    <w:rsid w:val="008051FC"/>
    <w:rsid w:val="00807AA4"/>
    <w:rsid w:val="008147C2"/>
    <w:rsid w:val="00820795"/>
    <w:rsid w:val="00821014"/>
    <w:rsid w:val="00832639"/>
    <w:rsid w:val="008343A1"/>
    <w:rsid w:val="00837194"/>
    <w:rsid w:val="00845CA4"/>
    <w:rsid w:val="00851D80"/>
    <w:rsid w:val="00854948"/>
    <w:rsid w:val="008673E3"/>
    <w:rsid w:val="0087115D"/>
    <w:rsid w:val="00877196"/>
    <w:rsid w:val="00883796"/>
    <w:rsid w:val="00886394"/>
    <w:rsid w:val="008901EF"/>
    <w:rsid w:val="00890633"/>
    <w:rsid w:val="00891D00"/>
    <w:rsid w:val="0089489D"/>
    <w:rsid w:val="00894EE6"/>
    <w:rsid w:val="008B0FC4"/>
    <w:rsid w:val="008B124B"/>
    <w:rsid w:val="008C03E8"/>
    <w:rsid w:val="008C1D93"/>
    <w:rsid w:val="008C321C"/>
    <w:rsid w:val="008D2B4D"/>
    <w:rsid w:val="008D4E1F"/>
    <w:rsid w:val="008D7D20"/>
    <w:rsid w:val="008E0701"/>
    <w:rsid w:val="008E7BE1"/>
    <w:rsid w:val="008E7EF1"/>
    <w:rsid w:val="0090279D"/>
    <w:rsid w:val="0092012B"/>
    <w:rsid w:val="00920BCB"/>
    <w:rsid w:val="00927AEF"/>
    <w:rsid w:val="0093502B"/>
    <w:rsid w:val="00937CA4"/>
    <w:rsid w:val="00937D38"/>
    <w:rsid w:val="00941183"/>
    <w:rsid w:val="00941746"/>
    <w:rsid w:val="00941CE4"/>
    <w:rsid w:val="00942809"/>
    <w:rsid w:val="009453DC"/>
    <w:rsid w:val="009520D0"/>
    <w:rsid w:val="009563C1"/>
    <w:rsid w:val="00965096"/>
    <w:rsid w:val="0098082C"/>
    <w:rsid w:val="00984886"/>
    <w:rsid w:val="0099032A"/>
    <w:rsid w:val="009925D9"/>
    <w:rsid w:val="009A2D2E"/>
    <w:rsid w:val="009A4F2F"/>
    <w:rsid w:val="009A678F"/>
    <w:rsid w:val="009B1F46"/>
    <w:rsid w:val="009C3ED7"/>
    <w:rsid w:val="009C45CB"/>
    <w:rsid w:val="009C7C58"/>
    <w:rsid w:val="009D10DD"/>
    <w:rsid w:val="009D618F"/>
    <w:rsid w:val="009D6FE0"/>
    <w:rsid w:val="009E2373"/>
    <w:rsid w:val="009E334E"/>
    <w:rsid w:val="009E693A"/>
    <w:rsid w:val="009F018F"/>
    <w:rsid w:val="009F631F"/>
    <w:rsid w:val="00A07D0D"/>
    <w:rsid w:val="00A12964"/>
    <w:rsid w:val="00A130FC"/>
    <w:rsid w:val="00A219D7"/>
    <w:rsid w:val="00A35CE9"/>
    <w:rsid w:val="00A360BE"/>
    <w:rsid w:val="00A40775"/>
    <w:rsid w:val="00A41029"/>
    <w:rsid w:val="00A51522"/>
    <w:rsid w:val="00A545FF"/>
    <w:rsid w:val="00A60A1A"/>
    <w:rsid w:val="00A63264"/>
    <w:rsid w:val="00A66B13"/>
    <w:rsid w:val="00A71FD3"/>
    <w:rsid w:val="00A720D1"/>
    <w:rsid w:val="00A720E0"/>
    <w:rsid w:val="00A83997"/>
    <w:rsid w:val="00A91864"/>
    <w:rsid w:val="00A92E74"/>
    <w:rsid w:val="00A9344B"/>
    <w:rsid w:val="00AA2A8D"/>
    <w:rsid w:val="00AB2318"/>
    <w:rsid w:val="00AB24DC"/>
    <w:rsid w:val="00AB5F63"/>
    <w:rsid w:val="00AC0564"/>
    <w:rsid w:val="00AC6F3B"/>
    <w:rsid w:val="00AC76BB"/>
    <w:rsid w:val="00AD0921"/>
    <w:rsid w:val="00AD0C05"/>
    <w:rsid w:val="00AD2B51"/>
    <w:rsid w:val="00AD49C9"/>
    <w:rsid w:val="00AD592C"/>
    <w:rsid w:val="00AD6FA3"/>
    <w:rsid w:val="00AE1745"/>
    <w:rsid w:val="00AE559E"/>
    <w:rsid w:val="00AF0EDE"/>
    <w:rsid w:val="00AF1095"/>
    <w:rsid w:val="00B02408"/>
    <w:rsid w:val="00B15D7F"/>
    <w:rsid w:val="00B203E5"/>
    <w:rsid w:val="00B223E5"/>
    <w:rsid w:val="00B2596E"/>
    <w:rsid w:val="00B325DF"/>
    <w:rsid w:val="00B332D2"/>
    <w:rsid w:val="00B361CE"/>
    <w:rsid w:val="00B46E6B"/>
    <w:rsid w:val="00B47562"/>
    <w:rsid w:val="00B50EA3"/>
    <w:rsid w:val="00B61151"/>
    <w:rsid w:val="00B625BD"/>
    <w:rsid w:val="00B66CEA"/>
    <w:rsid w:val="00B6778E"/>
    <w:rsid w:val="00B677BD"/>
    <w:rsid w:val="00B74C7A"/>
    <w:rsid w:val="00B84B64"/>
    <w:rsid w:val="00B84D46"/>
    <w:rsid w:val="00B85628"/>
    <w:rsid w:val="00B90BC0"/>
    <w:rsid w:val="00B94095"/>
    <w:rsid w:val="00BA0DA8"/>
    <w:rsid w:val="00BA1542"/>
    <w:rsid w:val="00BA1F61"/>
    <w:rsid w:val="00BA46F4"/>
    <w:rsid w:val="00BA4AB4"/>
    <w:rsid w:val="00BB4F15"/>
    <w:rsid w:val="00BC3103"/>
    <w:rsid w:val="00BC328F"/>
    <w:rsid w:val="00BC4283"/>
    <w:rsid w:val="00BD5D0D"/>
    <w:rsid w:val="00BE068F"/>
    <w:rsid w:val="00BF2BA5"/>
    <w:rsid w:val="00C013F0"/>
    <w:rsid w:val="00C04AF9"/>
    <w:rsid w:val="00C05A1F"/>
    <w:rsid w:val="00C179A8"/>
    <w:rsid w:val="00C20DD8"/>
    <w:rsid w:val="00C23D0C"/>
    <w:rsid w:val="00C24792"/>
    <w:rsid w:val="00C374B4"/>
    <w:rsid w:val="00C37D56"/>
    <w:rsid w:val="00C51829"/>
    <w:rsid w:val="00C63FA1"/>
    <w:rsid w:val="00C63FE4"/>
    <w:rsid w:val="00C65B7C"/>
    <w:rsid w:val="00C65F6C"/>
    <w:rsid w:val="00C67586"/>
    <w:rsid w:val="00C77D3D"/>
    <w:rsid w:val="00C878E2"/>
    <w:rsid w:val="00C93BDA"/>
    <w:rsid w:val="00C961C4"/>
    <w:rsid w:val="00CA04F9"/>
    <w:rsid w:val="00CB1C36"/>
    <w:rsid w:val="00CB4006"/>
    <w:rsid w:val="00CD3572"/>
    <w:rsid w:val="00CD6F2B"/>
    <w:rsid w:val="00CD7BDC"/>
    <w:rsid w:val="00CE0FC4"/>
    <w:rsid w:val="00CE3B6B"/>
    <w:rsid w:val="00CE4786"/>
    <w:rsid w:val="00CF5CF0"/>
    <w:rsid w:val="00CF7BE8"/>
    <w:rsid w:val="00D02399"/>
    <w:rsid w:val="00D15264"/>
    <w:rsid w:val="00D31CEC"/>
    <w:rsid w:val="00D41D40"/>
    <w:rsid w:val="00D441ED"/>
    <w:rsid w:val="00D52571"/>
    <w:rsid w:val="00D52C25"/>
    <w:rsid w:val="00D54B5A"/>
    <w:rsid w:val="00D6105C"/>
    <w:rsid w:val="00D72955"/>
    <w:rsid w:val="00D74D09"/>
    <w:rsid w:val="00D75A8E"/>
    <w:rsid w:val="00D829E7"/>
    <w:rsid w:val="00D907F8"/>
    <w:rsid w:val="00D92831"/>
    <w:rsid w:val="00D96B5C"/>
    <w:rsid w:val="00DA0690"/>
    <w:rsid w:val="00DA2DD8"/>
    <w:rsid w:val="00DB6908"/>
    <w:rsid w:val="00DC130F"/>
    <w:rsid w:val="00DC2B10"/>
    <w:rsid w:val="00DC2C63"/>
    <w:rsid w:val="00DC3980"/>
    <w:rsid w:val="00DC63C8"/>
    <w:rsid w:val="00DD056B"/>
    <w:rsid w:val="00DE4378"/>
    <w:rsid w:val="00DF06C8"/>
    <w:rsid w:val="00DF074B"/>
    <w:rsid w:val="00DF3487"/>
    <w:rsid w:val="00DF4671"/>
    <w:rsid w:val="00DF5392"/>
    <w:rsid w:val="00DF5AD1"/>
    <w:rsid w:val="00E004C8"/>
    <w:rsid w:val="00E06206"/>
    <w:rsid w:val="00E10A55"/>
    <w:rsid w:val="00E124AD"/>
    <w:rsid w:val="00E15D44"/>
    <w:rsid w:val="00E234F7"/>
    <w:rsid w:val="00E24D66"/>
    <w:rsid w:val="00E342E7"/>
    <w:rsid w:val="00E355BD"/>
    <w:rsid w:val="00E35673"/>
    <w:rsid w:val="00E37A9A"/>
    <w:rsid w:val="00E41170"/>
    <w:rsid w:val="00E455A1"/>
    <w:rsid w:val="00E4616D"/>
    <w:rsid w:val="00E565B1"/>
    <w:rsid w:val="00E5763F"/>
    <w:rsid w:val="00E57B88"/>
    <w:rsid w:val="00E57FEA"/>
    <w:rsid w:val="00E60ADD"/>
    <w:rsid w:val="00E61B89"/>
    <w:rsid w:val="00E7148C"/>
    <w:rsid w:val="00E75460"/>
    <w:rsid w:val="00E763EF"/>
    <w:rsid w:val="00E81B49"/>
    <w:rsid w:val="00E828F0"/>
    <w:rsid w:val="00E82AF6"/>
    <w:rsid w:val="00E84836"/>
    <w:rsid w:val="00E858F5"/>
    <w:rsid w:val="00E85DB0"/>
    <w:rsid w:val="00E87D8D"/>
    <w:rsid w:val="00E91341"/>
    <w:rsid w:val="00E91621"/>
    <w:rsid w:val="00E95AEE"/>
    <w:rsid w:val="00EA050D"/>
    <w:rsid w:val="00EA28BF"/>
    <w:rsid w:val="00EA32E1"/>
    <w:rsid w:val="00EA6C90"/>
    <w:rsid w:val="00EB1E59"/>
    <w:rsid w:val="00EB27FA"/>
    <w:rsid w:val="00EB5B61"/>
    <w:rsid w:val="00EB7030"/>
    <w:rsid w:val="00EC1622"/>
    <w:rsid w:val="00EC205B"/>
    <w:rsid w:val="00EC3D59"/>
    <w:rsid w:val="00EC642D"/>
    <w:rsid w:val="00EC6C51"/>
    <w:rsid w:val="00EC7D92"/>
    <w:rsid w:val="00ED20A7"/>
    <w:rsid w:val="00EE1C22"/>
    <w:rsid w:val="00EF07A2"/>
    <w:rsid w:val="00EF64DA"/>
    <w:rsid w:val="00F009A1"/>
    <w:rsid w:val="00F02C17"/>
    <w:rsid w:val="00F03FA4"/>
    <w:rsid w:val="00F12DDF"/>
    <w:rsid w:val="00F15A2F"/>
    <w:rsid w:val="00F201A4"/>
    <w:rsid w:val="00F26B9A"/>
    <w:rsid w:val="00F323CA"/>
    <w:rsid w:val="00F502FE"/>
    <w:rsid w:val="00F537B5"/>
    <w:rsid w:val="00F55C04"/>
    <w:rsid w:val="00F6630E"/>
    <w:rsid w:val="00F6695C"/>
    <w:rsid w:val="00F71915"/>
    <w:rsid w:val="00F7366A"/>
    <w:rsid w:val="00F75B25"/>
    <w:rsid w:val="00F87D88"/>
    <w:rsid w:val="00F92011"/>
    <w:rsid w:val="00F9693A"/>
    <w:rsid w:val="00FB20B1"/>
    <w:rsid w:val="00FB5D9E"/>
    <w:rsid w:val="00FC1C96"/>
    <w:rsid w:val="00FE5306"/>
    <w:rsid w:val="00FE6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4340F75A"/>
  <w15:docId w15:val="{BED57340-DE51-4D04-B6C0-A115C4F0A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5B1"/>
    <w:pPr>
      <w:spacing w:after="0" w:line="240" w:lineRule="auto"/>
    </w:pPr>
    <w:rPr>
      <w:rFonts w:ascii="Calibri" w:hAnsi="Calibri"/>
    </w:rPr>
  </w:style>
  <w:style w:type="paragraph" w:styleId="Heading1">
    <w:name w:val="heading 1"/>
    <w:aliases w:val="JPW-num-section,level 1,level1,Nadpis 1, Char Char, Char,Char Char,Char"/>
    <w:basedOn w:val="Normal"/>
    <w:next w:val="Normal"/>
    <w:link w:val="Heading1Char"/>
    <w:qFormat/>
    <w:rsid w:val="0012555E"/>
    <w:pPr>
      <w:keepNext/>
      <w:keepLines/>
      <w:spacing w:before="480"/>
      <w:outlineLvl w:val="0"/>
    </w:pPr>
    <w:rPr>
      <w:rFonts w:asciiTheme="minorHAnsi" w:eastAsiaTheme="majorEastAsia" w:hAnsiTheme="minorHAnsi" w:cstheme="majorBidi"/>
      <w:b/>
      <w:bCs/>
      <w:color w:val="365F91" w:themeColor="accent1" w:themeShade="BF"/>
      <w:szCs w:val="28"/>
    </w:rPr>
  </w:style>
  <w:style w:type="paragraph" w:styleId="Heading2">
    <w:name w:val="heading 2"/>
    <w:aliases w:val="level 2,level2"/>
    <w:basedOn w:val="Normal"/>
    <w:next w:val="Normal"/>
    <w:link w:val="Heading2Char"/>
    <w:unhideWhenUsed/>
    <w:qFormat/>
    <w:rsid w:val="0012555E"/>
    <w:pPr>
      <w:keepNext/>
      <w:keepLines/>
      <w:spacing w:before="200"/>
      <w:outlineLvl w:val="1"/>
    </w:pPr>
    <w:rPr>
      <w:rFonts w:asciiTheme="minorHAnsi" w:eastAsiaTheme="majorEastAsia" w:hAnsiTheme="minorHAnsi" w:cstheme="majorBidi"/>
      <w:b/>
      <w:bCs/>
      <w:color w:val="4F81BD" w:themeColor="accent1"/>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Normal"/>
    <w:link w:val="GSTitleChar"/>
    <w:qFormat/>
    <w:rsid w:val="00034933"/>
    <w:pPr>
      <w:spacing w:after="360"/>
      <w:outlineLvl w:val="0"/>
    </w:pPr>
    <w:rPr>
      <w:b/>
      <w:sz w:val="44"/>
    </w:rPr>
  </w:style>
  <w:style w:type="paragraph" w:customStyle="1" w:styleId="GSHeading1">
    <w:name w:val="GS Heading 1"/>
    <w:basedOn w:val="Normal"/>
    <w:link w:val="GSHeading1Char"/>
    <w:qFormat/>
    <w:rsid w:val="00E35673"/>
    <w:pPr>
      <w:spacing w:before="240" w:after="240"/>
      <w:outlineLvl w:val="0"/>
    </w:pPr>
    <w:rPr>
      <w:b/>
      <w:caps/>
    </w:rPr>
  </w:style>
  <w:style w:type="character" w:customStyle="1" w:styleId="GSTitleChar">
    <w:name w:val="GS Title Char"/>
    <w:basedOn w:val="DefaultParagraphFont"/>
    <w:link w:val="GSTitle"/>
    <w:rsid w:val="00034933"/>
    <w:rPr>
      <w:rFonts w:ascii="Calibri" w:hAnsi="Calibri"/>
      <w:b/>
      <w:sz w:val="44"/>
    </w:rPr>
  </w:style>
  <w:style w:type="paragraph" w:customStyle="1" w:styleId="GSBodyPara">
    <w:name w:val="GS Body Para"/>
    <w:basedOn w:val="Normal"/>
    <w:link w:val="GSBodyParaChar"/>
    <w:qFormat/>
    <w:rsid w:val="00014079"/>
    <w:pPr>
      <w:spacing w:after="240"/>
      <w:ind w:left="567"/>
      <w:outlineLvl w:val="1"/>
    </w:pPr>
  </w:style>
  <w:style w:type="character" w:customStyle="1" w:styleId="GSHeading1Char">
    <w:name w:val="GS Heading 1 Char"/>
    <w:basedOn w:val="DefaultParagraphFont"/>
    <w:link w:val="GSHeading1"/>
    <w:rsid w:val="00E35673"/>
    <w:rPr>
      <w:rFonts w:ascii="Calibri" w:hAnsi="Calibri"/>
      <w:b/>
      <w:caps/>
    </w:rPr>
  </w:style>
  <w:style w:type="numbering" w:customStyle="1" w:styleId="GSNumList">
    <w:name w:val="GS NumList"/>
    <w:uiPriority w:val="99"/>
    <w:rsid w:val="00AB24DC"/>
    <w:pPr>
      <w:numPr>
        <w:numId w:val="1"/>
      </w:numPr>
    </w:pPr>
  </w:style>
  <w:style w:type="character" w:customStyle="1" w:styleId="GSBodyParaChar">
    <w:name w:val="GS Body Para Char"/>
    <w:basedOn w:val="DefaultParagraphFont"/>
    <w:link w:val="GSBodyPara"/>
    <w:rsid w:val="00014079"/>
    <w:rPr>
      <w:rFonts w:ascii="Calibri" w:hAnsi="Calibri"/>
    </w:rPr>
  </w:style>
  <w:style w:type="paragraph" w:customStyle="1" w:styleId="GSHeading2">
    <w:name w:val="GS Heading 2"/>
    <w:basedOn w:val="GSHeading1"/>
    <w:next w:val="GSBodyPara"/>
    <w:link w:val="GSHeading2Char"/>
    <w:qFormat/>
    <w:rsid w:val="00352D14"/>
    <w:pPr>
      <w:outlineLvl w:val="4"/>
    </w:pPr>
    <w:rPr>
      <w:b w:val="0"/>
      <w:caps w:val="0"/>
      <w:u w:val="single"/>
    </w:rPr>
  </w:style>
  <w:style w:type="table" w:customStyle="1" w:styleId="GSTable">
    <w:name w:val="GS Table"/>
    <w:basedOn w:val="TableNormal"/>
    <w:uiPriority w:val="99"/>
    <w:rsid w:val="003C2072"/>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352D14"/>
    <w:rPr>
      <w:rFonts w:ascii="Calibri" w:hAnsi="Calibri"/>
      <w:b w:val="0"/>
      <w:caps w:val="0"/>
      <w:color w:val="86AD82"/>
      <w:sz w:val="24"/>
      <w:u w:val="single"/>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D441ED"/>
    <w:pPr>
      <w:tabs>
        <w:tab w:val="center" w:pos="4536"/>
        <w:tab w:val="right" w:pos="9072"/>
      </w:tabs>
      <w:spacing w:before="60"/>
    </w:pPr>
    <w:rPr>
      <w:sz w:val="20"/>
    </w:rPr>
  </w:style>
  <w:style w:type="character" w:customStyle="1" w:styleId="GSHeaderFooterChar">
    <w:name w:val="GS Header/Footer Char"/>
    <w:basedOn w:val="DefaultParagraphFont"/>
    <w:link w:val="GSHeaderFooter"/>
    <w:rsid w:val="00D441ED"/>
    <w:rPr>
      <w:rFonts w:ascii="Calibri" w:hAnsi="Calibri"/>
      <w:sz w:val="20"/>
    </w:rPr>
  </w:style>
  <w:style w:type="paragraph" w:styleId="Header">
    <w:name w:val="header"/>
    <w:basedOn w:val="Normal"/>
    <w:link w:val="HeaderChar"/>
    <w:uiPriority w:val="99"/>
    <w:unhideWhenUsed/>
    <w:rsid w:val="00D441ED"/>
    <w:pPr>
      <w:tabs>
        <w:tab w:val="center" w:pos="4513"/>
        <w:tab w:val="right" w:pos="9026"/>
      </w:tabs>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pPr>
  </w:style>
  <w:style w:type="character" w:customStyle="1" w:styleId="FooterChar">
    <w:name w:val="Footer Char"/>
    <w:basedOn w:val="DefaultParagraphFont"/>
    <w:link w:val="Footer"/>
    <w:uiPriority w:val="99"/>
    <w:rsid w:val="00D441ED"/>
    <w:rPr>
      <w:rFonts w:ascii="Calibri" w:hAnsi="Calibri"/>
      <w:sz w:val="24"/>
    </w:rPr>
  </w:style>
  <w:style w:type="table" w:customStyle="1" w:styleId="GSAttendeeList">
    <w:name w:val="GS Attendee List"/>
    <w:basedOn w:val="TableNormal"/>
    <w:uiPriority w:val="99"/>
    <w:rsid w:val="00E91621"/>
    <w:pPr>
      <w:spacing w:before="20" w:after="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TblText1">
    <w:name w:val="GS Tbl Text 1"/>
    <w:basedOn w:val="Normal"/>
    <w:link w:val="GSTblText1Char"/>
    <w:qFormat/>
    <w:rsid w:val="00DC3980"/>
  </w:style>
  <w:style w:type="paragraph" w:customStyle="1" w:styleId="GSTblText2">
    <w:name w:val="GS Tbl Text 2"/>
    <w:basedOn w:val="Normal"/>
    <w:qFormat/>
    <w:rsid w:val="0012555E"/>
    <w:pPr>
      <w:spacing w:before="20" w:after="20"/>
    </w:pPr>
  </w:style>
  <w:style w:type="paragraph" w:customStyle="1" w:styleId="GSAction">
    <w:name w:val="GS Action"/>
    <w:basedOn w:val="Normal"/>
    <w:link w:val="GSActionChar"/>
    <w:qFormat/>
    <w:rsid w:val="00F87D88"/>
    <w:pPr>
      <w:spacing w:before="60" w:after="120"/>
      <w:jc w:val="right"/>
    </w:pPr>
    <w:rPr>
      <w:b/>
      <w:caps/>
    </w:rPr>
  </w:style>
  <w:style w:type="table" w:customStyle="1" w:styleId="GSActionsTable">
    <w:name w:val="GS Actions Table"/>
    <w:basedOn w:val="TableNormal"/>
    <w:uiPriority w:val="99"/>
    <w:rsid w:val="008343A1"/>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character" w:customStyle="1" w:styleId="GSActionChar">
    <w:name w:val="GS Action Char"/>
    <w:basedOn w:val="DefaultParagraphFont"/>
    <w:link w:val="GSAction"/>
    <w:rsid w:val="00F87D88"/>
    <w:rPr>
      <w:rFonts w:ascii="Calibri" w:hAnsi="Calibri"/>
      <w:b/>
      <w:caps/>
      <w:sz w:val="24"/>
    </w:rPr>
  </w:style>
  <w:style w:type="paragraph" w:customStyle="1" w:styleId="GSHeaderFooterlandscape">
    <w:name w:val="GS Header/Footer landscape"/>
    <w:basedOn w:val="GSHeaderFooter"/>
    <w:link w:val="GSHeaderFooterlandscapeChar"/>
    <w:qFormat/>
    <w:rsid w:val="003C2072"/>
    <w:pPr>
      <w:tabs>
        <w:tab w:val="clear" w:pos="4536"/>
        <w:tab w:val="clear" w:pos="9072"/>
        <w:tab w:val="center" w:pos="6946"/>
        <w:tab w:val="right" w:pos="13892"/>
      </w:tabs>
    </w:pPr>
  </w:style>
  <w:style w:type="paragraph" w:customStyle="1" w:styleId="GSCommittee">
    <w:name w:val="GS Committee"/>
    <w:basedOn w:val="GSTblText1"/>
    <w:link w:val="GSCommitteeChar"/>
    <w:qFormat/>
    <w:rsid w:val="0012555E"/>
  </w:style>
  <w:style w:type="character" w:customStyle="1" w:styleId="GSHeaderFooterlandscapeChar">
    <w:name w:val="GS Header/Footer landscape Char"/>
    <w:basedOn w:val="GSHeaderFooterChar"/>
    <w:link w:val="GSHeaderFooterlandscape"/>
    <w:rsid w:val="003C2072"/>
    <w:rPr>
      <w:rFonts w:ascii="Calibri" w:hAnsi="Calibri"/>
      <w:sz w:val="20"/>
    </w:rPr>
  </w:style>
  <w:style w:type="character" w:customStyle="1" w:styleId="GSTblText1Char">
    <w:name w:val="GS Tbl Text 1 Char"/>
    <w:basedOn w:val="DefaultParagraphFont"/>
    <w:link w:val="GSTblText1"/>
    <w:rsid w:val="00DC3980"/>
    <w:rPr>
      <w:rFonts w:ascii="Calibri" w:hAnsi="Calibri"/>
    </w:rPr>
  </w:style>
  <w:style w:type="character" w:customStyle="1" w:styleId="GSCommitteeChar">
    <w:name w:val="GS Committee Char"/>
    <w:basedOn w:val="GSTblText1Char"/>
    <w:link w:val="GSCommittee"/>
    <w:rsid w:val="0012555E"/>
    <w:rPr>
      <w:rFonts w:ascii="Calibri" w:hAnsi="Calibri"/>
      <w:sz w:val="24"/>
    </w:rPr>
  </w:style>
  <w:style w:type="paragraph" w:customStyle="1" w:styleId="GSBodyParaBullet">
    <w:name w:val="GS Body Para Bullet"/>
    <w:basedOn w:val="Normal"/>
    <w:link w:val="GSBodyParaBulletChar"/>
    <w:qFormat/>
    <w:rsid w:val="0012555E"/>
    <w:pPr>
      <w:numPr>
        <w:ilvl w:val="3"/>
        <w:numId w:val="2"/>
      </w:numPr>
      <w:spacing w:before="60" w:after="120" w:line="276" w:lineRule="auto"/>
      <w:outlineLvl w:val="1"/>
    </w:pPr>
  </w:style>
  <w:style w:type="character" w:customStyle="1" w:styleId="GSBodyParaBulletChar">
    <w:name w:val="GS Body Para Bullet Char"/>
    <w:basedOn w:val="DefaultParagraphFont"/>
    <w:link w:val="GSBodyParaBullet"/>
    <w:rsid w:val="0012555E"/>
    <w:rPr>
      <w:rFonts w:ascii="Calibri" w:hAnsi="Calibri"/>
    </w:rPr>
  </w:style>
  <w:style w:type="paragraph" w:customStyle="1" w:styleId="GSBodyParawithnumb">
    <w:name w:val="GS Body Para with numb"/>
    <w:basedOn w:val="Normal"/>
    <w:link w:val="GSBodyParawithnumbChar"/>
    <w:qFormat/>
    <w:rsid w:val="00194A60"/>
    <w:pPr>
      <w:numPr>
        <w:ilvl w:val="1"/>
        <w:numId w:val="3"/>
      </w:numPr>
      <w:spacing w:before="60" w:after="120"/>
      <w:outlineLvl w:val="1"/>
    </w:pPr>
  </w:style>
  <w:style w:type="character" w:customStyle="1" w:styleId="GSBodyParawithnumbChar">
    <w:name w:val="GS Body Para with numb Char"/>
    <w:basedOn w:val="DefaultParagraphFont"/>
    <w:link w:val="GSBodyParawithnumb"/>
    <w:rsid w:val="00194A60"/>
    <w:rPr>
      <w:rFonts w:ascii="Calibri" w:hAnsi="Calibri"/>
    </w:rPr>
  </w:style>
  <w:style w:type="paragraph" w:customStyle="1" w:styleId="GSHeading1withnumb">
    <w:name w:val="GS Heading 1 with numb"/>
    <w:basedOn w:val="Normal"/>
    <w:link w:val="GSHeading1withnumbChar"/>
    <w:qFormat/>
    <w:rsid w:val="00612C8B"/>
    <w:pPr>
      <w:numPr>
        <w:numId w:val="3"/>
      </w:numPr>
      <w:spacing w:before="240"/>
      <w:outlineLvl w:val="0"/>
    </w:pPr>
    <w:rPr>
      <w:b/>
      <w:caps/>
    </w:rPr>
  </w:style>
  <w:style w:type="character" w:customStyle="1" w:styleId="GSHeading1withnumbChar">
    <w:name w:val="GS Heading 1 with numb Char"/>
    <w:basedOn w:val="DefaultParagraphFont"/>
    <w:link w:val="GSHeading1withnumb"/>
    <w:rsid w:val="00612C8B"/>
    <w:rPr>
      <w:rFonts w:ascii="Calibri" w:hAnsi="Calibri"/>
      <w:b/>
      <w:caps/>
    </w:rPr>
  </w:style>
  <w:style w:type="paragraph" w:styleId="BalloonText">
    <w:name w:val="Balloon Text"/>
    <w:basedOn w:val="Normal"/>
    <w:link w:val="BalloonTextChar"/>
    <w:uiPriority w:val="99"/>
    <w:semiHidden/>
    <w:unhideWhenUsed/>
    <w:rsid w:val="00894EE6"/>
    <w:rPr>
      <w:rFonts w:ascii="Tahoma" w:hAnsi="Tahoma" w:cs="Tahoma"/>
      <w:sz w:val="16"/>
      <w:szCs w:val="16"/>
    </w:rPr>
  </w:style>
  <w:style w:type="character" w:customStyle="1" w:styleId="BalloonTextChar">
    <w:name w:val="Balloon Text Char"/>
    <w:basedOn w:val="DefaultParagraphFont"/>
    <w:link w:val="BalloonText"/>
    <w:uiPriority w:val="99"/>
    <w:semiHidden/>
    <w:rsid w:val="00894EE6"/>
    <w:rPr>
      <w:rFonts w:ascii="Tahoma" w:hAnsi="Tahoma" w:cs="Tahoma"/>
      <w:sz w:val="16"/>
      <w:szCs w:val="16"/>
    </w:rPr>
  </w:style>
  <w:style w:type="character" w:customStyle="1" w:styleId="Heading1Char">
    <w:name w:val="Heading 1 Char"/>
    <w:aliases w:val="JPW-num-section Char,level 1 Char,level1 Char,Nadpis 1 Char, Char Char Char, Char Char1,Char Char Char,Char Char1"/>
    <w:basedOn w:val="DefaultParagraphFont"/>
    <w:link w:val="Heading1"/>
    <w:uiPriority w:val="9"/>
    <w:rsid w:val="0012555E"/>
    <w:rPr>
      <w:rFonts w:eastAsiaTheme="majorEastAsia" w:cstheme="majorBidi"/>
      <w:b/>
      <w:bCs/>
      <w:color w:val="365F91" w:themeColor="accent1" w:themeShade="BF"/>
      <w:szCs w:val="28"/>
    </w:rPr>
  </w:style>
  <w:style w:type="character" w:customStyle="1" w:styleId="Heading2Char">
    <w:name w:val="Heading 2 Char"/>
    <w:aliases w:val="level 2 Char,level2 Char"/>
    <w:basedOn w:val="DefaultParagraphFont"/>
    <w:link w:val="Heading2"/>
    <w:uiPriority w:val="9"/>
    <w:semiHidden/>
    <w:rsid w:val="0012555E"/>
    <w:rPr>
      <w:rFonts w:eastAsiaTheme="majorEastAsia" w:cstheme="majorBidi"/>
      <w:b/>
      <w:bCs/>
      <w:color w:val="4F81BD" w:themeColor="accent1"/>
      <w:szCs w:val="26"/>
    </w:rPr>
  </w:style>
  <w:style w:type="character" w:styleId="CommentReference">
    <w:name w:val="annotation reference"/>
    <w:basedOn w:val="DefaultParagraphFont"/>
    <w:uiPriority w:val="99"/>
    <w:semiHidden/>
    <w:unhideWhenUsed/>
    <w:rsid w:val="0012555E"/>
    <w:rPr>
      <w:sz w:val="16"/>
      <w:szCs w:val="16"/>
    </w:rPr>
  </w:style>
  <w:style w:type="paragraph" w:styleId="CommentText">
    <w:name w:val="annotation text"/>
    <w:basedOn w:val="Normal"/>
    <w:link w:val="CommentTextChar"/>
    <w:uiPriority w:val="99"/>
    <w:semiHidden/>
    <w:unhideWhenUsed/>
    <w:rsid w:val="0012555E"/>
    <w:rPr>
      <w:sz w:val="20"/>
      <w:szCs w:val="20"/>
    </w:rPr>
  </w:style>
  <w:style w:type="character" w:customStyle="1" w:styleId="CommentTextChar">
    <w:name w:val="Comment Text Char"/>
    <w:basedOn w:val="DefaultParagraphFont"/>
    <w:link w:val="CommentText"/>
    <w:uiPriority w:val="99"/>
    <w:semiHidden/>
    <w:rsid w:val="0012555E"/>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12555E"/>
    <w:rPr>
      <w:b/>
      <w:bCs/>
    </w:rPr>
  </w:style>
  <w:style w:type="character" w:customStyle="1" w:styleId="CommentSubjectChar">
    <w:name w:val="Comment Subject Char"/>
    <w:basedOn w:val="CommentTextChar"/>
    <w:link w:val="CommentSubject"/>
    <w:uiPriority w:val="99"/>
    <w:semiHidden/>
    <w:rsid w:val="0012555E"/>
    <w:rPr>
      <w:rFonts w:ascii="Calibri" w:hAnsi="Calibri"/>
      <w:b/>
      <w:bCs/>
      <w:sz w:val="20"/>
      <w:szCs w:val="20"/>
    </w:rPr>
  </w:style>
  <w:style w:type="paragraph" w:styleId="Revision">
    <w:name w:val="Revision"/>
    <w:hidden/>
    <w:uiPriority w:val="99"/>
    <w:semiHidden/>
    <w:rsid w:val="00037336"/>
    <w:pPr>
      <w:spacing w:after="0" w:line="240" w:lineRule="auto"/>
    </w:pPr>
    <w:rPr>
      <w:rFonts w:ascii="Calibri" w:hAnsi="Calibri"/>
    </w:rPr>
  </w:style>
  <w:style w:type="character" w:styleId="Hyperlink">
    <w:name w:val="Hyperlink"/>
    <w:uiPriority w:val="99"/>
    <w:unhideWhenUsed/>
    <w:rsid w:val="003D665F"/>
    <w:rPr>
      <w:color w:val="0000FF"/>
      <w:u w:val="single"/>
    </w:rPr>
  </w:style>
  <w:style w:type="paragraph" w:styleId="BodyText">
    <w:name w:val="Body Text"/>
    <w:basedOn w:val="Normal"/>
    <w:link w:val="BodyTextChar"/>
    <w:rsid w:val="003603C0"/>
    <w:rPr>
      <w:rFonts w:ascii="Times New Roman" w:eastAsia="Times New Roman" w:hAnsi="Times New Roman" w:cs="Times New Roman"/>
      <w:kern w:val="14"/>
      <w:sz w:val="24"/>
      <w:szCs w:val="20"/>
      <w:lang w:bidi="en-US"/>
    </w:rPr>
  </w:style>
  <w:style w:type="character" w:customStyle="1" w:styleId="BodyTextChar">
    <w:name w:val="Body Text Char"/>
    <w:basedOn w:val="DefaultParagraphFont"/>
    <w:link w:val="BodyText"/>
    <w:rsid w:val="003603C0"/>
    <w:rPr>
      <w:rFonts w:ascii="Times New Roman" w:eastAsia="Times New Roman" w:hAnsi="Times New Roman" w:cs="Times New Roman"/>
      <w:kern w:val="14"/>
      <w:sz w:val="24"/>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268854">
      <w:bodyDiv w:val="1"/>
      <w:marLeft w:val="0"/>
      <w:marRight w:val="0"/>
      <w:marTop w:val="0"/>
      <w:marBottom w:val="0"/>
      <w:divBdr>
        <w:top w:val="none" w:sz="0" w:space="0" w:color="auto"/>
        <w:left w:val="none" w:sz="0" w:space="0" w:color="auto"/>
        <w:bottom w:val="none" w:sz="0" w:space="0" w:color="auto"/>
        <w:right w:val="none" w:sz="0" w:space="0" w:color="auto"/>
      </w:divBdr>
    </w:div>
    <w:div w:id="193615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CD0-3D01-4CB2-B3E8-036B13CE0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 Limited</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Lauren Nicholls</cp:lastModifiedBy>
  <cp:revision>8</cp:revision>
  <cp:lastPrinted>2016-04-25T13:57:00Z</cp:lastPrinted>
  <dcterms:created xsi:type="dcterms:W3CDTF">2016-03-30T14:47:00Z</dcterms:created>
  <dcterms:modified xsi:type="dcterms:W3CDTF">2016-06-08T09:11:00Z</dcterms:modified>
</cp:coreProperties>
</file>